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i w:val="0"/>
          <w:caps w:val="0"/>
          <w:color w:val="333333"/>
          <w:spacing w:val="0"/>
          <w:sz w:val="44"/>
          <w:szCs w:val="44"/>
          <w:shd w:val="clear" w:fill="FFFFFF"/>
        </w:rPr>
      </w:pPr>
      <w:r>
        <w:rPr>
          <w:rFonts w:hint="eastAsia" w:ascii="方正小标宋_GBK" w:hAnsi="方正小标宋_GBK" w:eastAsia="方正小标宋_GBK" w:cs="方正小标宋_GBK"/>
          <w:i w:val="0"/>
          <w:caps w:val="0"/>
          <w:color w:val="333333"/>
          <w:spacing w:val="0"/>
          <w:sz w:val="44"/>
          <w:szCs w:val="44"/>
          <w:shd w:val="clear" w:fill="FFFFFF"/>
        </w:rPr>
        <w:t>重庆市人民政府办公厅关于印发重庆市人民防空建设“十四五”规划 （2021—2025年）的通知</w:t>
      </w:r>
    </w:p>
    <w:p>
      <w:pPr>
        <w:jc w:val="center"/>
        <w:rPr>
          <w:rFonts w:hint="eastAsia" w:ascii="方正小标宋_GBK" w:hAnsi="方正小标宋_GBK" w:eastAsia="方正小标宋_GBK" w:cs="方正小标宋_GBK"/>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right="0"/>
        <w:jc w:val="left"/>
        <w:rPr>
          <w:rFonts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各区县（自治县）人民政府，市政府有关部门，有关单位：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《重庆市人民防空建设“十四五”规划（2021—2025年）》已经市政府同意，现印发给你们，请结合实际认真贯彻执行。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420"/>
        <w:jc w:val="right"/>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重庆市人民政府办公厅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420"/>
        <w:jc w:val="right"/>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2021年8月27日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0"/>
        <w:jc w:val="right"/>
        <w:rPr>
          <w:rFonts w:hint="eastAsia" w:ascii="方正仿宋_GBK" w:hAnsi="方正仿宋_GBK" w:eastAsia="方正仿宋_GBK" w:cs="方正仿宋_GBK"/>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420"/>
        <w:jc w:val="center"/>
        <w:rPr>
          <w:rFonts w:hint="eastAsia" w:ascii="方正小标宋_GBK" w:hAnsi="方正小标宋_GBK" w:eastAsia="方正小标宋_GBK" w:cs="方正小标宋_GBK"/>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420"/>
        <w:jc w:val="center"/>
        <w:rPr>
          <w:rFonts w:hint="eastAsia" w:ascii="方正小标宋_GBK" w:hAnsi="方正小标宋_GBK" w:eastAsia="方正小标宋_GBK" w:cs="方正小标宋_GBK"/>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420"/>
        <w:jc w:val="center"/>
        <w:rPr>
          <w:rFonts w:hint="eastAsia" w:ascii="方正小标宋_GBK" w:hAnsi="方正小标宋_GBK" w:eastAsia="方正小标宋_GBK" w:cs="方正小标宋_GBK"/>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420"/>
        <w:jc w:val="center"/>
        <w:rPr>
          <w:rFonts w:hint="eastAsia" w:ascii="方正小标宋_GBK" w:hAnsi="方正小标宋_GBK" w:eastAsia="方正小标宋_GBK" w:cs="方正小标宋_GBK"/>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420"/>
        <w:jc w:val="center"/>
        <w:rPr>
          <w:rFonts w:hint="eastAsia" w:ascii="方正小标宋_GBK" w:hAnsi="方正小标宋_GBK" w:eastAsia="方正小标宋_GBK" w:cs="方正小标宋_GBK"/>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420"/>
        <w:jc w:val="center"/>
        <w:rPr>
          <w:rFonts w:hint="eastAsia" w:ascii="方正小标宋_GBK" w:hAnsi="方正小标宋_GBK" w:eastAsia="方正小标宋_GBK" w:cs="方正小标宋_GBK"/>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420"/>
        <w:jc w:val="center"/>
        <w:rPr>
          <w:rFonts w:hint="eastAsia" w:ascii="方正小标宋_GBK" w:hAnsi="方正小标宋_GBK" w:eastAsia="方正小标宋_GBK" w:cs="方正小标宋_GBK"/>
          <w:i w:val="0"/>
          <w:caps w:val="0"/>
          <w:color w:val="333333"/>
          <w:spacing w:val="0"/>
          <w:sz w:val="44"/>
          <w:szCs w:val="44"/>
        </w:rPr>
      </w:pPr>
      <w:r>
        <w:rPr>
          <w:rFonts w:hint="eastAsia" w:ascii="方正小标宋_GBK" w:hAnsi="方正小标宋_GBK" w:eastAsia="方正小标宋_GBK" w:cs="方正小标宋_GBK"/>
          <w:i w:val="0"/>
          <w:caps w:val="0"/>
          <w:color w:val="333333"/>
          <w:spacing w:val="0"/>
          <w:sz w:val="44"/>
          <w:szCs w:val="44"/>
          <w:shd w:val="clear" w:fill="FFFFFF"/>
        </w:rPr>
        <w:t>重庆市人民防空建设“十四五”规划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420"/>
        <w:jc w:val="center"/>
        <w:rPr>
          <w:rFonts w:hint="eastAsia" w:ascii="方正小标宋_GBK" w:hAnsi="方正小标宋_GBK" w:eastAsia="方正小标宋_GBK" w:cs="方正小标宋_GBK"/>
          <w:i w:val="0"/>
          <w:caps w:val="0"/>
          <w:color w:val="333333"/>
          <w:spacing w:val="0"/>
          <w:sz w:val="44"/>
          <w:szCs w:val="44"/>
        </w:rPr>
      </w:pPr>
      <w:r>
        <w:rPr>
          <w:rFonts w:hint="eastAsia" w:ascii="方正小标宋_GBK" w:hAnsi="方正小标宋_GBK" w:eastAsia="方正小标宋_GBK" w:cs="方正小标宋_GBK"/>
          <w:i w:val="0"/>
          <w:caps w:val="0"/>
          <w:color w:val="333333"/>
          <w:spacing w:val="0"/>
          <w:sz w:val="44"/>
          <w:szCs w:val="44"/>
          <w:shd w:val="clear" w:fill="FFFFFF"/>
        </w:rPr>
        <w:t>（2021—2025年）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0"/>
        <w:rPr>
          <w:rFonts w:hint="eastAsia" w:ascii="方正仿宋_GBK" w:hAnsi="方正仿宋_GBK" w:eastAsia="方正仿宋_GBK" w:cs="方正仿宋_GBK"/>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0"/>
        <w:rPr>
          <w:rFonts w:hint="eastAsia" w:ascii="方正仿宋_GBK" w:hAnsi="方正仿宋_GBK" w:eastAsia="方正仿宋_GBK" w:cs="方正仿宋_GBK"/>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0"/>
        <w:rPr>
          <w:rFonts w:hint="eastAsia" w:ascii="方正仿宋_GBK" w:hAnsi="方正仿宋_GBK" w:eastAsia="方正仿宋_GBK" w:cs="方正仿宋_GBK"/>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0"/>
        <w:rPr>
          <w:rFonts w:hint="eastAsia" w:ascii="方正仿宋_GBK" w:hAnsi="方正仿宋_GBK" w:eastAsia="方正仿宋_GBK" w:cs="方正仿宋_GBK"/>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0"/>
        <w:rPr>
          <w:rFonts w:hint="eastAsia" w:ascii="方正仿宋_GBK" w:hAnsi="方正仿宋_GBK" w:eastAsia="方正仿宋_GBK" w:cs="方正仿宋_GBK"/>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0"/>
        <w:rPr>
          <w:rFonts w:hint="eastAsia" w:ascii="方正仿宋_GBK" w:hAnsi="方正仿宋_GBK" w:eastAsia="方正仿宋_GBK" w:cs="方正仿宋_GBK"/>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0"/>
        <w:rPr>
          <w:rFonts w:hint="eastAsia" w:ascii="方正仿宋_GBK" w:hAnsi="方正仿宋_GBK" w:eastAsia="方正仿宋_GBK" w:cs="方正仿宋_GBK"/>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0"/>
        <w:rPr>
          <w:rFonts w:hint="eastAsia" w:ascii="方正仿宋_GBK" w:hAnsi="方正仿宋_GBK" w:eastAsia="方正仿宋_GBK" w:cs="方正仿宋_GBK"/>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0"/>
        <w:rPr>
          <w:rFonts w:hint="eastAsia" w:ascii="方正仿宋_GBK" w:hAnsi="方正仿宋_GBK" w:eastAsia="方正仿宋_GBK" w:cs="方正仿宋_GBK"/>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0"/>
        <w:rPr>
          <w:rFonts w:hint="eastAsia" w:ascii="方正仿宋_GBK" w:hAnsi="方正仿宋_GBK" w:eastAsia="方正仿宋_GBK" w:cs="方正仿宋_GBK"/>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0"/>
        <w:rPr>
          <w:rFonts w:hint="eastAsia" w:ascii="方正仿宋_GBK" w:hAnsi="方正仿宋_GBK" w:eastAsia="方正仿宋_GBK" w:cs="方正仿宋_GBK"/>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0"/>
        <w:rPr>
          <w:rFonts w:hint="eastAsia" w:ascii="方正仿宋_GBK" w:hAnsi="方正仿宋_GBK" w:eastAsia="方正仿宋_GBK" w:cs="方正仿宋_GBK"/>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420"/>
        <w:jc w:val="center"/>
        <w:rPr>
          <w:rFonts w:hint="eastAsia" w:ascii="方正仿宋_GBK" w:hAnsi="方正仿宋_GBK" w:eastAsia="方正仿宋_GBK" w:cs="方正仿宋_GBK"/>
          <w:i w:val="0"/>
          <w:caps w:val="0"/>
          <w:color w:val="333333"/>
          <w:spacing w:val="0"/>
          <w:sz w:val="32"/>
          <w:szCs w:val="32"/>
        </w:rPr>
      </w:pPr>
      <w:r>
        <w:rPr>
          <w:rFonts w:hint="eastAsia" w:ascii="方正小标宋_GBK" w:hAnsi="方正小标宋_GBK" w:eastAsia="方正小标宋_GBK" w:cs="方正小标宋_GBK"/>
          <w:i w:val="0"/>
          <w:caps w:val="0"/>
          <w:color w:val="333333"/>
          <w:spacing w:val="0"/>
          <w:sz w:val="32"/>
          <w:szCs w:val="32"/>
          <w:shd w:val="clear" w:fill="FFFFFF"/>
        </w:rPr>
        <w:t>2021年8月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0"/>
        <w:rPr>
          <w:rFonts w:hint="eastAsia" w:ascii="方正仿宋_GBK" w:hAnsi="方正仿宋_GBK" w:eastAsia="方正仿宋_GBK" w:cs="方正仿宋_GBK"/>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right="0"/>
        <w:jc w:val="both"/>
        <w:rPr>
          <w:rStyle w:val="5"/>
          <w:rFonts w:hint="eastAsia" w:ascii="方正仿宋_GBK" w:hAnsi="方正仿宋_GBK" w:eastAsia="方正仿宋_GBK" w:cs="方正仿宋_GBK"/>
          <w:i w:val="0"/>
          <w:caps w:val="0"/>
          <w:color w:val="333333"/>
          <w:spacing w:val="0"/>
          <w:sz w:val="25"/>
          <w:szCs w:val="25"/>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420"/>
        <w:jc w:val="center"/>
        <w:rPr>
          <w:rFonts w:hint="eastAsia" w:ascii="方正仿宋_GBK" w:hAnsi="方正仿宋_GBK" w:eastAsia="方正仿宋_GBK" w:cs="方正仿宋_GBK"/>
          <w:i w:val="0"/>
          <w:caps w:val="0"/>
          <w:color w:val="333333"/>
          <w:spacing w:val="0"/>
          <w:sz w:val="44"/>
          <w:szCs w:val="44"/>
        </w:rPr>
      </w:pPr>
      <w:r>
        <w:rPr>
          <w:rStyle w:val="5"/>
          <w:rFonts w:hint="eastAsia" w:ascii="方正仿宋_GBK" w:hAnsi="方正仿宋_GBK" w:eastAsia="方正仿宋_GBK" w:cs="方正仿宋_GBK"/>
          <w:i w:val="0"/>
          <w:caps w:val="0"/>
          <w:color w:val="333333"/>
          <w:spacing w:val="0"/>
          <w:sz w:val="44"/>
          <w:szCs w:val="44"/>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0"/>
        <w:rPr>
          <w:rFonts w:hint="eastAsia" w:ascii="方正仿宋_GBK" w:hAnsi="方正仿宋_GBK" w:eastAsia="方正仿宋_GBK" w:cs="方正仿宋_GBK"/>
          <w:i w:val="0"/>
          <w:caps w:val="0"/>
          <w:color w:val="333333"/>
          <w:spacing w:val="0"/>
          <w:sz w:val="25"/>
          <w:szCs w:val="25"/>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一、发展基础和面临形势（4）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（一）“十三五”时期取得的成绩（4）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（二）“十四五”时期面临的形势（6）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二、总体要求和目标（8）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（一）指导思想（8）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（二）基本原则（8）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（三）建设目标（9）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textAlignment w:val="auto"/>
        <w:outlineLvl w:val="9"/>
        <w:rPr>
          <w:rFonts w:hint="eastAsia" w:ascii="方正仿宋_GBK" w:hAnsi="方正仿宋_GBK" w:eastAsia="方正仿宋_GBK" w:cs="方正仿宋_GBK"/>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为科学指导“十四五”时期全市人民防空建设，进一步提高发展质量和效益，根据全国人民防空建设发展“十四五”规划指导意见和全市国民经济和社会发展总体安排，结合全市人民防空建设发展实际，制定本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一、发展基础和面临形势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（一）“十三五”时期取得的成绩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（二）“十四五”时期面临的形势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十四五”时期是我国“两个一百年”奋斗目标的历史交汇期，是国家安全的高承压和高风险期，是国防动员新体制的起步运行期，是建设强大巩固现代人民防空体系、铸就坚不可摧护民之盾的攻坚期，重庆人民防空建设工作面临新挑战新机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从安全形势看，重庆人民防空工作任务艰巨。当前我国正面临中华民族伟大复兴战略全局和世界百年未有之大变局。大国竞争博弈斗争日趋复杂，传统安全威胁和非传统威胁相互交织，国家安全和发展面临重大风险挑战和潜在威胁。人民防空作为总体国家安全观的重要组成部分，作为全民性的防护工作和利国利民的公益事业，地位和作用日趋凸显。现代战争形态加速演进，空袭贯穿全程并加速向高、隐、快、准发展，空袭目标向重要民生和战争潜力目标拓展。重庆地处中国腹地，是西南方向重要的战略支撑要地，作为国家人民防空重点城市，必须立足复杂困难局面，拓展深化军事斗争人民防空准备，以完备的防护体系护佑生命、保存潜力，以有效的救援行动消除后果、稳定社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从发展现状看，重庆人民防空工作任重道远。“十三五”时期，重庆人民防空工作保持了良好的发展势头，取得了一定成绩，但仍然存在诸多制约发展的短板和弱项，主要表现在：组织指挥体制机制还不够健全完善，训练演练实战化味道不浓；人民防空工程建设体量不够，结构布局不合理，功能不完善，平战转换工作压力较大；重要经济目标防护缺标准、缺手段，末端基本不设防；创新驱动发展动力不足、措施不多，政策制度改革和法规标准建设相对比较滞后；区县级人民防空机构不够健全稳定，干部队伍能力素质有待加强；各区县发展不平衡，特别是“两群”部分区县人民防空工作基础比较薄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从发展条件看，重庆人民防空工作大有可为。党和国家领导人高度重视人民防空工作。习近平总书记把人民防空上升到国家战略，深刻指出：人民防空是国之大事，是国家战略，是长期战略。当前，国家现代化建设开启新征程，“五位一体”总体布局统筹推进，“四个全面”战略布局协调推进，创新驱动、军民融合、区域发展战略全面实施，信息化、新型城镇化和供给侧结构性改革深入发展，物联网、云计算、大数据等新技术广泛应用，为人民防空转型升级、高质量发展提供难得机遇。重庆作为国家中心城市和国家重要先进制造业中心、西部国际综合交通枢纽和国际门户枢纽，在国家实施“一带一路”、长江经济带和成渝地区双城经济圈建设重大战略中具有十分重要的地位。加强人民防空建设，强化城市防护、重要经济目标防护，对于提升应战应急整体能力、建设巩固的战略大后方、增强国家维护战略安全的能力具有十分重要的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二、总体要求和目标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以习近平新时代中国特色社会主义思想为指导，全面贯彻新时代军事战略方针，深入贯彻习近平总书记对重庆提出的营造良好政治生态，坚持“两点”定位、“两地”“两高”目标，发挥“三个作用”和推动成渝地区双城经济圈建设等重要指示要求，准确把握新发展阶段，深入践行新发展理念，积极融入新发展格局，切实担当新发展使命，坚持总体国家安全观，坚持城市防护和重要经济目标防护并重，着力调布局、抓重点、补短板、转方式、强能力，奋力推进全市人民防空转型升级和高质量发展迈上新台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（二）基本原则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坚持以战领建，分类指导。瞄准强敌、聚焦实战，强化人民防空发展的需求导向、规划统筹、标准规范、能力评估，增强战备建设的针对性和有效性。充分考虑全市各区域发展条件的差异性，科学确定目标任务、建设重点和指标要求，实行分类分级精细管理，努力实现更好质量、更高效益、更可持续的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坚持创新驱动，军民融合。确立联合防空、体系防空、精确防空和开放发展新理念，大力推进理论创新、政策创新、科技创新、管理创新，为人民防空转型升级提供强劲动能。把人民防空融入国防建设和经济社会发展，融入军事斗争准备，融入城市基础建设，提高人民防空设施军民兼用水平，实现战备效益、社会效益、经济效益有机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坚持依法治理，问题导向。加快法治建设步伐，强化依法管理、目录管理、属地管理、精确管理，走多部门综合监管、联合执法路子，实现人民防空治理体系和治理能力现代化。紧盯工程总量布局、防护标准落后、科技创新乏力等短板弱项，加大投入、夯实基础、强化监管，促进人民防空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——坚持服务民生，以人为本。牢牢把握以人民为中心</w:t>
      </w:r>
      <w:bookmarkStart w:id="0" w:name="_GoBack"/>
      <w:bookmarkEnd w:id="0"/>
      <w:r>
        <w:rPr>
          <w:rFonts w:hint="eastAsia" w:ascii="方正仿宋_GBK" w:hAnsi="方正仿宋_GBK" w:eastAsia="方正仿宋_GBK" w:cs="方正仿宋_GBK"/>
          <w:i w:val="0"/>
          <w:caps w:val="0"/>
          <w:color w:val="333333"/>
          <w:spacing w:val="0"/>
          <w:sz w:val="32"/>
          <w:szCs w:val="32"/>
          <w:shd w:val="clear" w:fill="FFFFFF"/>
        </w:rPr>
        <w:t>的发展思想，充分利用好人民防空指挥系统、防护工程、应急避难场所等资源，保护人民生命财产安全。坚持服务民生，深入推进“放管服”改革，依托“渝快办”平台，持续优化营商环境，方便人民群众、市场主体等管理服务对象，不断提升政务服务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（三）建设目标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结合深化国防动员体制改革，完善党统一领导、政府建设管理、军队以战领建、军地协同配合的新时代人民防空领导管理体制，统筹推进全市人民防空战备建设和改革转型。到2025年，全市人民防空领导管理体制健全完善，“五大体系”建设成效显著，防护布局调整优化，政策法规基本配套，军民融合深度发展，防空袭斗争能力持续增强，强大巩固的现代人民防空体系不断完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建立军地协同、稳定顺畅的组织指挥体系。指挥机构要素齐全，方案计划实用完备。人民防空基本指挥所功能完善，机动指挥平台先进适用，指挥信息系统和管理信息系统功能完备、常态部署运用。城区警报音响覆盖率达98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建立布局合理、功能完备的人员防护体系。民用建筑依法建设防空地下室应建必建，新建防空地下室6级以上人员掩蔽工程占比不低于70％，医疗救护等专业工程不低于3％。全市新增人民防空工程xxx万平方米以上，全市城区人均防护面积达到xxx平方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——建立聚焦重点、软硬兼顾的目标防护体系。重要经济目标目录管理制度健全完善，分类分级防护建设有序有力，目标单位防护救援方案配套，防护手段措施基本到位，训练演练落实落地。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——建立专群结合、防消兼备的专业力量体系。依法组建10类人民防空专业队伍，总人数达xx万人，积极组织开展战备任务训练或实战化综合演练。大力发展人民防空志愿者队伍。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0" w:firstLineChars="200"/>
        <w:jc w:val="both"/>
        <w:textAlignment w:val="auto"/>
        <w:outlineLvl w:val="9"/>
        <w:rPr>
          <w:rFonts w:hint="eastAsia" w:ascii="方正小标宋_GBK" w:hAnsi="方正小标宋_GBK" w:eastAsia="方正小标宋_GBK" w:cs="方正小标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——建立集约高效、适用配套的支撑保障体系。调整完成全市人民防空工作机构设置和职能配置，政策法规标准基本配套。</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30E67"/>
    <w:rsid w:val="71730E67"/>
    <w:rsid w:val="F5ABFF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2022-06-20T11:22:00Z</dcterms:created>
  <dc:creator>Administrator</dc:creator>
  <cp:lastModifiedBy>guest</cp:lastModifiedBy>
  <dcterms:modified xsi:type="dcterms:W3CDTF">2025-01-10T15:00:50Z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