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i w:val="0"/>
          <w:caps w:val="0"/>
          <w:color w:val="333333"/>
          <w:spacing w:val="0"/>
          <w:sz w:val="44"/>
          <w:szCs w:val="44"/>
          <w:shd w:val="clear" w:fill="FFFFFF"/>
        </w:rPr>
      </w:pPr>
      <w:bookmarkStart w:id="0" w:name="_GoBack"/>
      <w:r>
        <w:rPr>
          <w:rFonts w:hint="eastAsia" w:ascii="方正小标宋_GBK" w:hAnsi="方正小标宋_GBK" w:eastAsia="方正小标宋_GBK" w:cs="方正小标宋_GBK"/>
          <w:i w:val="0"/>
          <w:caps w:val="0"/>
          <w:color w:val="333333"/>
          <w:spacing w:val="0"/>
          <w:sz w:val="44"/>
          <w:szCs w:val="44"/>
          <w:shd w:val="clear" w:fill="FFFFFF"/>
        </w:rPr>
        <w:t>重庆市人民政府办公厅关于印发重庆市人民防空建设“十四五”规划 （2021—2025年）的通知</w:t>
      </w:r>
    </w:p>
    <w:bookmarkEnd w:id="0"/>
    <w:p>
      <w:pPr>
        <w:jc w:val="center"/>
        <w:rPr>
          <w:rFonts w:hint="eastAsia" w:ascii="方正小标宋_GBK" w:hAnsi="方正小标宋_GBK" w:eastAsia="方正小标宋_GBK" w:cs="方正小标宋_GBK"/>
          <w:i w:val="0"/>
          <w:caps w:val="0"/>
          <w:color w:val="333333"/>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right="0"/>
        <w:jc w:val="left"/>
        <w:rPr>
          <w:rFonts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各区县（自治县）人民政府，市政府有关部门，有关单位：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《重庆市人民防空建设“十四五”规划（2021—2025年）》已经市政府同意，现印发给你们，请结合实际认真贯彻执行。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4"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420"/>
        <w:jc w:val="right"/>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重庆市人民政府办公厅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420"/>
        <w:jc w:val="right"/>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2021年8月27日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jc w:val="right"/>
        <w:rPr>
          <w:rFonts w:hint="eastAsia" w:ascii="方正仿宋_GBK" w:hAnsi="方正仿宋_GBK" w:eastAsia="方正仿宋_GBK" w:cs="方正仿宋_GBK"/>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420"/>
        <w:jc w:val="center"/>
        <w:rPr>
          <w:rFonts w:hint="eastAsia" w:ascii="方正小标宋_GBK" w:hAnsi="方正小标宋_GBK" w:eastAsia="方正小标宋_GBK" w:cs="方正小标宋_GBK"/>
          <w:i w:val="0"/>
          <w:caps w:val="0"/>
          <w:color w:val="333333"/>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420"/>
        <w:jc w:val="center"/>
        <w:rPr>
          <w:rFonts w:hint="eastAsia" w:ascii="方正小标宋_GBK" w:hAnsi="方正小标宋_GBK" w:eastAsia="方正小标宋_GBK" w:cs="方正小标宋_GBK"/>
          <w:i w:val="0"/>
          <w:caps w:val="0"/>
          <w:color w:val="333333"/>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420"/>
        <w:jc w:val="center"/>
        <w:rPr>
          <w:rFonts w:hint="eastAsia" w:ascii="方正小标宋_GBK" w:hAnsi="方正小标宋_GBK" w:eastAsia="方正小标宋_GBK" w:cs="方正小标宋_GBK"/>
          <w:i w:val="0"/>
          <w:caps w:val="0"/>
          <w:color w:val="333333"/>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420"/>
        <w:jc w:val="center"/>
        <w:rPr>
          <w:rFonts w:hint="eastAsia" w:ascii="方正小标宋_GBK" w:hAnsi="方正小标宋_GBK" w:eastAsia="方正小标宋_GBK" w:cs="方正小标宋_GBK"/>
          <w:i w:val="0"/>
          <w:caps w:val="0"/>
          <w:color w:val="333333"/>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420"/>
        <w:jc w:val="center"/>
        <w:rPr>
          <w:rFonts w:hint="eastAsia" w:ascii="方正小标宋_GBK" w:hAnsi="方正小标宋_GBK" w:eastAsia="方正小标宋_GBK" w:cs="方正小标宋_GBK"/>
          <w:i w:val="0"/>
          <w:caps w:val="0"/>
          <w:color w:val="333333"/>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420"/>
        <w:jc w:val="center"/>
        <w:rPr>
          <w:rFonts w:hint="eastAsia" w:ascii="方正小标宋_GBK" w:hAnsi="方正小标宋_GBK" w:eastAsia="方正小标宋_GBK" w:cs="方正小标宋_GBK"/>
          <w:i w:val="0"/>
          <w:caps w:val="0"/>
          <w:color w:val="333333"/>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420"/>
        <w:jc w:val="center"/>
        <w:rPr>
          <w:rFonts w:hint="eastAsia" w:ascii="方正小标宋_GBK" w:hAnsi="方正小标宋_GBK" w:eastAsia="方正小标宋_GBK" w:cs="方正小标宋_GBK"/>
          <w:i w:val="0"/>
          <w:caps w:val="0"/>
          <w:color w:val="333333"/>
          <w:spacing w:val="0"/>
          <w:sz w:val="44"/>
          <w:szCs w:val="44"/>
        </w:rPr>
      </w:pPr>
      <w:r>
        <w:rPr>
          <w:rFonts w:hint="eastAsia" w:ascii="方正小标宋_GBK" w:hAnsi="方正小标宋_GBK" w:eastAsia="方正小标宋_GBK" w:cs="方正小标宋_GBK"/>
          <w:i w:val="0"/>
          <w:caps w:val="0"/>
          <w:color w:val="333333"/>
          <w:spacing w:val="0"/>
          <w:sz w:val="44"/>
          <w:szCs w:val="44"/>
          <w:bdr w:val="none" w:color="auto" w:sz="0" w:space="0"/>
          <w:shd w:val="clear" w:fill="FFFFFF"/>
        </w:rPr>
        <w:t>重庆市人民防空建设“十四五”规划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420"/>
        <w:jc w:val="center"/>
        <w:rPr>
          <w:rFonts w:hint="eastAsia" w:ascii="方正小标宋_GBK" w:hAnsi="方正小标宋_GBK" w:eastAsia="方正小标宋_GBK" w:cs="方正小标宋_GBK"/>
          <w:i w:val="0"/>
          <w:caps w:val="0"/>
          <w:color w:val="333333"/>
          <w:spacing w:val="0"/>
          <w:sz w:val="44"/>
          <w:szCs w:val="44"/>
        </w:rPr>
      </w:pPr>
      <w:r>
        <w:rPr>
          <w:rFonts w:hint="eastAsia" w:ascii="方正小标宋_GBK" w:hAnsi="方正小标宋_GBK" w:eastAsia="方正小标宋_GBK" w:cs="方正小标宋_GBK"/>
          <w:i w:val="0"/>
          <w:caps w:val="0"/>
          <w:color w:val="333333"/>
          <w:spacing w:val="0"/>
          <w:sz w:val="44"/>
          <w:szCs w:val="44"/>
          <w:bdr w:val="none" w:color="auto" w:sz="0" w:space="0"/>
          <w:shd w:val="clear" w:fill="FFFFFF"/>
        </w:rPr>
        <w:t>（2021—2025年）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rPr>
          <w:rFonts w:hint="eastAsia" w:ascii="方正仿宋_GBK" w:hAnsi="方正仿宋_GBK" w:eastAsia="方正仿宋_GBK" w:cs="方正仿宋_GBK"/>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rPr>
          <w:rFonts w:hint="eastAsia" w:ascii="方正仿宋_GBK" w:hAnsi="方正仿宋_GBK" w:eastAsia="方正仿宋_GBK" w:cs="方正仿宋_GBK"/>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rPr>
          <w:rFonts w:hint="eastAsia" w:ascii="方正仿宋_GBK" w:hAnsi="方正仿宋_GBK" w:eastAsia="方正仿宋_GBK" w:cs="方正仿宋_GBK"/>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rPr>
          <w:rFonts w:hint="eastAsia" w:ascii="方正仿宋_GBK" w:hAnsi="方正仿宋_GBK" w:eastAsia="方正仿宋_GBK" w:cs="方正仿宋_GBK"/>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rPr>
          <w:rFonts w:hint="eastAsia" w:ascii="方正仿宋_GBK" w:hAnsi="方正仿宋_GBK" w:eastAsia="方正仿宋_GBK" w:cs="方正仿宋_GBK"/>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rPr>
          <w:rFonts w:hint="eastAsia" w:ascii="方正仿宋_GBK" w:hAnsi="方正仿宋_GBK" w:eastAsia="方正仿宋_GBK" w:cs="方正仿宋_GBK"/>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rPr>
          <w:rFonts w:hint="eastAsia" w:ascii="方正仿宋_GBK" w:hAnsi="方正仿宋_GBK" w:eastAsia="方正仿宋_GBK" w:cs="方正仿宋_GBK"/>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rPr>
          <w:rFonts w:hint="eastAsia" w:ascii="方正仿宋_GBK" w:hAnsi="方正仿宋_GBK" w:eastAsia="方正仿宋_GBK" w:cs="方正仿宋_GBK"/>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rPr>
          <w:rFonts w:hint="eastAsia" w:ascii="方正仿宋_GBK" w:hAnsi="方正仿宋_GBK" w:eastAsia="方正仿宋_GBK" w:cs="方正仿宋_GBK"/>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rPr>
          <w:rFonts w:hint="eastAsia" w:ascii="方正仿宋_GBK" w:hAnsi="方正仿宋_GBK" w:eastAsia="方正仿宋_GBK" w:cs="方正仿宋_GBK"/>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rPr>
          <w:rFonts w:hint="eastAsia" w:ascii="方正仿宋_GBK" w:hAnsi="方正仿宋_GBK" w:eastAsia="方正仿宋_GBK" w:cs="方正仿宋_GBK"/>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rPr>
          <w:rFonts w:hint="eastAsia" w:ascii="方正仿宋_GBK" w:hAnsi="方正仿宋_GBK" w:eastAsia="方正仿宋_GBK" w:cs="方正仿宋_GBK"/>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420"/>
        <w:jc w:val="center"/>
        <w:rPr>
          <w:rFonts w:hint="eastAsia" w:ascii="方正仿宋_GBK" w:hAnsi="方正仿宋_GBK" w:eastAsia="方正仿宋_GBK" w:cs="方正仿宋_GBK"/>
          <w:i w:val="0"/>
          <w:caps w:val="0"/>
          <w:color w:val="333333"/>
          <w:spacing w:val="0"/>
          <w:sz w:val="32"/>
          <w:szCs w:val="32"/>
        </w:rPr>
      </w:pPr>
      <w:r>
        <w:rPr>
          <w:rFonts w:hint="eastAsia" w:ascii="方正小标宋_GBK" w:hAnsi="方正小标宋_GBK" w:eastAsia="方正小标宋_GBK" w:cs="方正小标宋_GBK"/>
          <w:i w:val="0"/>
          <w:caps w:val="0"/>
          <w:color w:val="333333"/>
          <w:spacing w:val="0"/>
          <w:sz w:val="32"/>
          <w:szCs w:val="32"/>
          <w:bdr w:val="none" w:color="auto" w:sz="0" w:space="0"/>
          <w:shd w:val="clear" w:fill="FFFFFF"/>
        </w:rPr>
        <w:t>2021年8月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rPr>
          <w:rFonts w:hint="eastAsia" w:ascii="方正仿宋_GBK" w:hAnsi="方正仿宋_GBK" w:eastAsia="方正仿宋_GBK" w:cs="方正仿宋_GBK"/>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right="0"/>
        <w:jc w:val="both"/>
        <w:rPr>
          <w:rStyle w:val="4"/>
          <w:rFonts w:hint="eastAsia" w:ascii="方正仿宋_GBK" w:hAnsi="方正仿宋_GBK" w:eastAsia="方正仿宋_GBK" w:cs="方正仿宋_GBK"/>
          <w:i w:val="0"/>
          <w:caps w:val="0"/>
          <w:color w:val="333333"/>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420"/>
        <w:jc w:val="center"/>
        <w:rPr>
          <w:rFonts w:hint="eastAsia" w:ascii="方正仿宋_GBK" w:hAnsi="方正仿宋_GBK" w:eastAsia="方正仿宋_GBK" w:cs="方正仿宋_GBK"/>
          <w:i w:val="0"/>
          <w:caps w:val="0"/>
          <w:color w:val="333333"/>
          <w:spacing w:val="0"/>
          <w:sz w:val="44"/>
          <w:szCs w:val="44"/>
        </w:rPr>
      </w:pPr>
      <w:r>
        <w:rPr>
          <w:rStyle w:val="4"/>
          <w:rFonts w:hint="eastAsia" w:ascii="方正仿宋_GBK" w:hAnsi="方正仿宋_GBK" w:eastAsia="方正仿宋_GBK" w:cs="方正仿宋_GBK"/>
          <w:i w:val="0"/>
          <w:caps w:val="0"/>
          <w:color w:val="333333"/>
          <w:spacing w:val="0"/>
          <w:sz w:val="44"/>
          <w:szCs w:val="44"/>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rPr>
          <w:rFonts w:hint="eastAsia" w:ascii="方正仿宋_GBK" w:hAnsi="方正仿宋_GBK" w:eastAsia="方正仿宋_GBK" w:cs="方正仿宋_GBK"/>
          <w:i w:val="0"/>
          <w:caps w:val="0"/>
          <w:color w:val="333333"/>
          <w:spacing w:val="0"/>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一、发展基础和面临形势（4）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（一）“十三五”时期取得的成绩（4）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（二）“十四五”时期面临的形势（6）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二、总体要求和目标（8）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（一）指导思想（8）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（二）基本原则（8）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（三）建设目标（9）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textAlignment w:val="auto"/>
        <w:outlineLvl w:val="9"/>
        <w:rPr>
          <w:rFonts w:hint="eastAsia" w:ascii="方正仿宋_GBK" w:hAnsi="方正仿宋_GBK" w:eastAsia="方正仿宋_GBK" w:cs="方正仿宋_GBK"/>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为科学指导“十四五”时期全市人民防空建设，进一步提高发展质量和效益，根据全国人民防空建设发展“十四五”规划指导意见和全市国民经济和社会发展总体安排，结合全市人民防空建设发展实际，制定本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一、发展基础和面临形势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（一）“十三五”时期取得的成绩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（二）“十四五”时期面临的形势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十四五”时期是我国“两个一百年”奋斗目标的历史交汇期，是国家安全的高承压和高风险期，是国防动员新体制的起步运行期，是建设强大巩固现代人民防空体系、铸就坚不可摧护民之盾的攻坚期，重庆人民防空建设工作面临新挑战新机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从安全形势看，重庆人民防空工作任务艰巨。当前我国正面临中华民族伟大复兴战略全局和世界百年未有之大变局。大国竞争博弈斗争日趋复杂，传统安全威胁和非传统威胁相互交织，国家安全和发展面临重大风险挑战和潜在威胁。人民防空作为总体国家安全观的重要组成部分，作为全民性的防护工作和利国利民的公益事业，地位和作用日趋凸显。现代战争形态加速演进，空袭贯穿全程并加速向高、隐、快、准发展，空袭目标向重要民生和战争潜力目标拓展。重庆地处中国腹地，是西南方向重要的战略支撑要地，作为国家人民防空重点城市，必须立足复杂困难局面，拓展深化军事斗争人民防空准备，以完备的防护体系护佑生命、保存潜力，以有效的救援行动消除后果、稳定社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从发展现状看，重庆人民防空工作任重道远。“十三五”时期，重庆人民防空工作保持了良好的发展势头，取得了一定成绩，但仍然存在诸多制约发展的短板和弱项，主要表现在：组织指挥体制机制还不够健全完善，训练演练实战化味道不浓；人民防空工程建设体量不够，结构布局不合理，功能不完善，平战转换工作压力较大；重要经济目标防护缺标准、缺手段，末端基本不设防；创新驱动发展动力不足、措施不多，政策制度改革和法规标准建设相对比较滞后；区县级人民防空机构不够健全稳定，干部队伍能力素质有待加强；各区县发展不平衡，特别是“两群”部分区县人民防空工作基础比较薄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从发展条件看，重庆人民防空工作大有可为。党和国家领导人高度重视人民防空工作。习近平总书记把人民防空上升到国家战略，深刻指出：人民防空是国之大事，是国家战略，是长期战略。当前，国家现代化建设开启新征程，“五位一体”总体布局统筹推进，“四个全面”战略布局协调推进，创新驱动、军民融合、区域发展战略全面实施，信息化、新型城镇化和供给侧结构性改革深入发展，物联网、云计算、大数据等新技术广泛应用，为人民防空转型升级、高质量发展提供难得机遇。重庆作为国家中心城市和国家重要先进制造业中心、西部国际综合交通枢纽和国际门户枢纽，在国家实施“一带一路”、长江经济带和成渝地区双城经济圈建设重大战略中具有十分重要的地位。加强人民防空建设，强化城市防护、重要经济目标防护，对于提升应战应急整体能力、建设巩固的战略大后方、增强国家维护战略安全的能力具有十分重要的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二、总体要求和目标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（一）指导思想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以习近平新时代中国特色社会主义思想为指导，全面贯彻新时代军事战略方针，深入贯彻习近平总书记对重庆提出的营造良好政治生态，坚持“两点”定位、“两地”“两高”目标，发挥“三个作用”和推动成渝地区双城经济圈建设等重要指示要求，准确把握新发展阶段，深入践行新发展理念，积极融入新发展格局，切实担当新发展使命，坚持总体国家安全观，坚持城市防护和重要经济目标防护并重，着力调布局、抓重点、补短板、转方式、强能力，奋力推进全市人民防空转型升级和高质量发展迈上新台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坚持以战领建，分类指导。瞄准强敌、聚焦实战，强化人民防空发展的需求导向、规划统筹、标准规范、能力评估，增强战备建设的针对性和有效性。充分考虑全市各区域发展条件的差异性，科学确定目标任务、建设重点和指标要求，实行分类分级精细管理，努力实现更好质量、更高效益、更可持续的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坚持创新驱动，军民融合。确立联合防空、体系防空、精确防空和开放发展新理念，大力推进理论创新、政策创新、科技创新、管理创新，为人民防空转型升级提供强劲动能。把人民防空融入国防建设和经济社会发展，融入军事斗争准备，融入城市基础建设，提高人民防空设施军民兼用水平，实现战备效益、社会效益、经济效益有机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坚持依法治理，问题导向。加快法治建设步伐，强化依法管理、目录管理、属地管理、精确管理，走多部门综合监管、联合执法路子，实现人民防空治理体系和治理能力现代化。紧盯工程总量布局、防护标准落后、科技创新乏力等短板弱项，加大投入、夯实基础、强化监管，促进人民防空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坚持服务民生，以人为本。牢牢把握“以人民为中心”的发展思想，充分利用好人民防空指挥系统、防护工程、应急避难场所等资源，保护人民生命财产安全。坚持服务民生，深入推进“放管服”改革，依托“渝快办”平台，持续优化营商环境，方便人民群众、市场主体等管理服务对象，不断提升政务服务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（三）建设目标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结合深化国防动员体制改革，完善党统一领导、政府建设管理、军队以战领建、军地协同配合的新时代人民防空领导管理体制，统筹推进全市人民防空战备建设和改革转型。到2025年，全市人民防空领导管理体制健全完善，“五大体系”建设成效显著，防护布局调整优化，政策法规基本配套，军民融合深度发展，防空袭斗争能力持续增强，强大巩固的现代人民防空体系不断完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建立军地协同、稳定顺畅的组织指挥体系。指挥机构要素齐全，方案计划实用完备。人民防空基本指挥所功能完善，机动指挥平台先进适用，指挥信息系统和管理信息系统功能完备、常态部署运用。城区警报音响覆盖率达98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建立布局合理、功能完备的人员防护体系。民用建筑依法建设防空地下室应建必建，新建防空地下室6级以上人员掩蔽工程占比不低于70％，医疗救护等专业工程不低于3％。全市新增人民防空工程xxx万平方米以上，全市城区人均防护面积达到xxx平方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——建立聚焦重点、软硬兼顾的目标防护体系。重要经济目标目录管理制度健全完善，分类分级防护建设有序有力，目标单位防护救援方案配套，防护手段措施基本到位，训练演练落实落地。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——建立专群结合、防消兼备的专业力量体系。依法组建10类人民防空专业队伍，总人数达xx万人，积极组织开展战备任务训练或实战化综合演练。大力发展人民防空志愿者队伍。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方正小标宋_GBK" w:hAnsi="方正小标宋_GBK" w:eastAsia="方正小标宋_GBK" w:cs="方正小标宋_GBK"/>
          <w:i w:val="0"/>
          <w:caps w:val="0"/>
          <w:color w:val="333333"/>
          <w:spacing w:val="0"/>
          <w:sz w:val="32"/>
          <w:szCs w:val="32"/>
          <w:shd w:val="clear" w:fill="FFFFFF"/>
        </w:rPr>
      </w:pPr>
      <w:r>
        <w:rPr>
          <w:rFonts w:hint="eastAsia" w:ascii="方正仿宋_GBK" w:hAnsi="方正仿宋_GBK" w:eastAsia="方正仿宋_GBK" w:cs="方正仿宋_GBK"/>
          <w:i w:val="0"/>
          <w:caps w:val="0"/>
          <w:color w:val="333333"/>
          <w:spacing w:val="0"/>
          <w:sz w:val="32"/>
          <w:szCs w:val="32"/>
          <w:bdr w:val="none" w:color="auto" w:sz="0" w:space="0"/>
          <w:shd w:val="clear" w:fill="FFFFFF"/>
        </w:rPr>
        <w:t>——建立集约高效、适用配套的支撑保障体系。调整完成全市人民防空工作机构设置和职能配置，政策法规标准基本配套。</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730E67"/>
    <w:rsid w:val="71730E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2022-06-20T03:22:00Z</dcterms:created>
  <dc:creator>Administrator</dc:creator>
  <cp:lastModifiedBy>Administrator</cp:lastModifiedBy>
  <dcterms:modified xsi:type="dcterms:W3CDTF">2022-06-20T03:26:18Z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