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宋体" w:hAnsi="宋体" w:eastAsia="宋体"/>
          <w:b/>
          <w:bCs/>
          <w:sz w:val="36"/>
          <w:szCs w:val="30"/>
        </w:rPr>
      </w:pPr>
      <w:r>
        <w:rPr>
          <w:rFonts w:hint="eastAsia" w:ascii="宋体" w:hAnsi="宋体" w:eastAsia="宋体"/>
          <w:b/>
          <w:bCs/>
          <w:sz w:val="36"/>
          <w:szCs w:val="30"/>
        </w:rPr>
        <w:t>档案规范化及电子化整理</w:t>
      </w:r>
    </w:p>
    <w:p>
      <w:pPr>
        <w:widowControl/>
        <w:jc w:val="center"/>
        <w:outlineLvl w:val="1"/>
        <w:rPr>
          <w:rFonts w:ascii="宋体" w:hAnsi="宋体" w:eastAsia="宋体"/>
          <w:b/>
          <w:bCs/>
          <w:sz w:val="36"/>
          <w:szCs w:val="30"/>
        </w:rPr>
      </w:pPr>
      <w:r>
        <w:rPr>
          <w:rFonts w:hint="eastAsia" w:ascii="宋体" w:hAnsi="宋体" w:eastAsia="宋体"/>
          <w:b/>
          <w:bCs/>
          <w:sz w:val="36"/>
          <w:szCs w:val="30"/>
        </w:rPr>
        <w:t>项目询价</w:t>
      </w:r>
      <w:r>
        <w:rPr>
          <w:rFonts w:hint="eastAsia" w:ascii="宋体" w:hAnsi="宋体" w:eastAsia="宋体"/>
          <w:b/>
          <w:bCs/>
          <w:sz w:val="36"/>
          <w:szCs w:val="30"/>
        </w:rPr>
        <w:t>公告</w:t>
      </w:r>
    </w:p>
    <w:p>
      <w:pPr>
        <w:spacing w:line="460" w:lineRule="exact"/>
        <w:ind w:firstLine="560" w:firstLineChars="200"/>
        <w:rPr>
          <w:rFonts w:hint="eastAsia"/>
          <w:sz w:val="28"/>
          <w:szCs w:val="28"/>
        </w:rPr>
      </w:pPr>
      <w:r>
        <w:rPr>
          <w:rFonts w:hint="eastAsia"/>
          <w:sz w:val="28"/>
          <w:szCs w:val="28"/>
        </w:rPr>
        <w:t>我司受重庆市人防工程设施管理站的委托，拟对重庆市人防工程设施管理站档案规范化及电子化整理</w:t>
      </w:r>
      <w:bookmarkStart w:id="13" w:name="_GoBack"/>
      <w:bookmarkEnd w:id="13"/>
      <w:r>
        <w:rPr>
          <w:rFonts w:hint="eastAsia"/>
          <w:sz w:val="28"/>
          <w:szCs w:val="28"/>
        </w:rPr>
        <w:t>项目进行公开询价，将有关事项公告如下：</w:t>
      </w:r>
    </w:p>
    <w:p>
      <w:pPr>
        <w:spacing w:line="460" w:lineRule="exact"/>
        <w:ind w:firstLine="643" w:firstLineChars="200"/>
        <w:rPr>
          <w:b/>
          <w:bCs/>
          <w:sz w:val="32"/>
          <w:szCs w:val="32"/>
        </w:rPr>
      </w:pPr>
      <w:bookmarkStart w:id="0" w:name="_Toc483557538"/>
      <w:bookmarkStart w:id="1" w:name="_Toc317775175"/>
      <w:bookmarkStart w:id="2" w:name="_Toc313893526"/>
      <w:r>
        <w:rPr>
          <w:rFonts w:hint="eastAsia"/>
          <w:b/>
          <w:bCs/>
          <w:sz w:val="32"/>
          <w:szCs w:val="32"/>
        </w:rPr>
        <w:t>一、项目内容</w:t>
      </w:r>
      <w:bookmarkEnd w:id="0"/>
      <w:bookmarkEnd w:id="1"/>
      <w:bookmarkEnd w:id="2"/>
    </w:p>
    <w:tbl>
      <w:tblPr>
        <w:tblStyle w:val="4"/>
        <w:tblW w:w="8963"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583"/>
        <w:gridCol w:w="1232"/>
        <w:gridCol w:w="215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866" w:type="dxa"/>
            <w:vAlign w:val="center"/>
          </w:tcPr>
          <w:p>
            <w:pPr>
              <w:spacing w:line="460" w:lineRule="exact"/>
              <w:ind w:firstLine="480" w:firstLineChars="200"/>
              <w:jc w:val="both"/>
              <w:rPr>
                <w:sz w:val="24"/>
                <w:szCs w:val="24"/>
              </w:rPr>
            </w:pPr>
            <w:r>
              <w:rPr>
                <w:rFonts w:hint="eastAsia"/>
                <w:sz w:val="24"/>
                <w:szCs w:val="24"/>
              </w:rPr>
              <w:t>名称</w:t>
            </w:r>
          </w:p>
        </w:tc>
        <w:tc>
          <w:tcPr>
            <w:tcW w:w="1583" w:type="dxa"/>
            <w:vAlign w:val="center"/>
          </w:tcPr>
          <w:p>
            <w:pPr>
              <w:spacing w:line="460" w:lineRule="exact"/>
              <w:ind w:firstLine="240" w:firstLineChars="100"/>
              <w:jc w:val="center"/>
              <w:rPr>
                <w:sz w:val="24"/>
                <w:szCs w:val="24"/>
              </w:rPr>
            </w:pPr>
            <w:r>
              <w:rPr>
                <w:rFonts w:hint="eastAsia"/>
                <w:sz w:val="24"/>
                <w:szCs w:val="24"/>
              </w:rPr>
              <w:t>采购预算</w:t>
            </w:r>
          </w:p>
          <w:p>
            <w:pPr>
              <w:spacing w:line="460" w:lineRule="exact"/>
              <w:ind w:firstLine="240" w:firstLineChars="100"/>
              <w:jc w:val="center"/>
              <w:rPr>
                <w:sz w:val="24"/>
                <w:szCs w:val="24"/>
              </w:rPr>
            </w:pPr>
            <w:r>
              <w:rPr>
                <w:rFonts w:hint="eastAsia"/>
                <w:sz w:val="24"/>
                <w:szCs w:val="24"/>
              </w:rPr>
              <w:t>（万元）</w:t>
            </w:r>
          </w:p>
        </w:tc>
        <w:tc>
          <w:tcPr>
            <w:tcW w:w="1232" w:type="dxa"/>
            <w:vAlign w:val="center"/>
          </w:tcPr>
          <w:p>
            <w:pPr>
              <w:spacing w:line="460" w:lineRule="exact"/>
              <w:jc w:val="center"/>
              <w:rPr>
                <w:sz w:val="24"/>
                <w:szCs w:val="24"/>
              </w:rPr>
            </w:pPr>
            <w:r>
              <w:rPr>
                <w:rFonts w:hint="eastAsia"/>
                <w:sz w:val="24"/>
                <w:szCs w:val="24"/>
              </w:rPr>
              <w:t>数量（项）</w:t>
            </w:r>
          </w:p>
        </w:tc>
        <w:tc>
          <w:tcPr>
            <w:tcW w:w="2150" w:type="dxa"/>
            <w:shd w:val="clear" w:color="auto" w:fill="auto"/>
            <w:vAlign w:val="center"/>
          </w:tcPr>
          <w:p>
            <w:pPr>
              <w:widowControl/>
              <w:jc w:val="center"/>
              <w:rPr>
                <w:sz w:val="24"/>
                <w:szCs w:val="24"/>
              </w:rPr>
            </w:pPr>
            <w:r>
              <w:rPr>
                <w:rFonts w:hint="eastAsia"/>
                <w:sz w:val="24"/>
                <w:szCs w:val="24"/>
              </w:rPr>
              <w:t>询价保证金</w:t>
            </w:r>
          </w:p>
        </w:tc>
        <w:tc>
          <w:tcPr>
            <w:tcW w:w="2132" w:type="dxa"/>
            <w:shd w:val="clear" w:color="auto" w:fill="auto"/>
            <w:vAlign w:val="center"/>
          </w:tcPr>
          <w:p>
            <w:pPr>
              <w:widowControl/>
              <w:jc w:val="center"/>
              <w:rPr>
                <w:rFonts w:hint="eastAsia"/>
                <w:sz w:val="24"/>
                <w:szCs w:val="24"/>
              </w:rPr>
            </w:pPr>
            <w:r>
              <w:rPr>
                <w:rFonts w:hint="eastAsia"/>
                <w:sz w:val="24"/>
                <w:szCs w:val="24"/>
              </w:rPr>
              <w:t>成交供应商数量（个）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rPr>
        <w:tc>
          <w:tcPr>
            <w:tcW w:w="1866" w:type="dxa"/>
            <w:vAlign w:val="center"/>
          </w:tcPr>
          <w:p>
            <w:pPr>
              <w:spacing w:line="460" w:lineRule="exact"/>
              <w:jc w:val="center"/>
              <w:rPr>
                <w:sz w:val="24"/>
                <w:szCs w:val="24"/>
              </w:rPr>
            </w:pPr>
            <w:bookmarkStart w:id="3" w:name="_Hlk344477914"/>
            <w:r>
              <w:rPr>
                <w:rFonts w:hint="eastAsia"/>
                <w:sz w:val="24"/>
                <w:szCs w:val="24"/>
              </w:rPr>
              <w:t>档案规范化及电子化整理项目</w:t>
            </w:r>
          </w:p>
        </w:tc>
        <w:tc>
          <w:tcPr>
            <w:tcW w:w="1583" w:type="dxa"/>
            <w:vAlign w:val="center"/>
          </w:tcPr>
          <w:p>
            <w:pPr>
              <w:spacing w:line="460" w:lineRule="exact"/>
              <w:jc w:val="both"/>
              <w:rPr>
                <w:sz w:val="24"/>
                <w:szCs w:val="24"/>
              </w:rPr>
            </w:pPr>
          </w:p>
          <w:p>
            <w:pPr>
              <w:spacing w:line="460" w:lineRule="exact"/>
              <w:ind w:firstLine="480" w:firstLineChars="200"/>
              <w:jc w:val="center"/>
              <w:rPr>
                <w:sz w:val="24"/>
                <w:szCs w:val="24"/>
              </w:rPr>
            </w:pPr>
            <w:r>
              <w:rPr>
                <w:sz w:val="24"/>
                <w:szCs w:val="24"/>
              </w:rPr>
              <w:t>12</w:t>
            </w:r>
            <w:r>
              <w:rPr>
                <w:rFonts w:hint="eastAsia"/>
                <w:sz w:val="24"/>
                <w:szCs w:val="24"/>
              </w:rPr>
              <w:t>万</w:t>
            </w:r>
          </w:p>
        </w:tc>
        <w:tc>
          <w:tcPr>
            <w:tcW w:w="1232" w:type="dxa"/>
            <w:vAlign w:val="center"/>
          </w:tcPr>
          <w:p>
            <w:pPr>
              <w:spacing w:line="460" w:lineRule="exact"/>
              <w:jc w:val="both"/>
              <w:rPr>
                <w:sz w:val="24"/>
                <w:szCs w:val="24"/>
              </w:rPr>
            </w:pPr>
          </w:p>
          <w:p>
            <w:pPr>
              <w:spacing w:line="460" w:lineRule="exact"/>
              <w:jc w:val="center"/>
              <w:rPr>
                <w:sz w:val="24"/>
                <w:szCs w:val="24"/>
              </w:rPr>
            </w:pPr>
            <w:r>
              <w:rPr>
                <w:sz w:val="24"/>
                <w:szCs w:val="24"/>
              </w:rPr>
              <w:t>1</w:t>
            </w:r>
            <w:r>
              <w:rPr>
                <w:rFonts w:hint="eastAsia"/>
                <w:sz w:val="24"/>
                <w:szCs w:val="24"/>
              </w:rPr>
              <w:t>项</w:t>
            </w:r>
          </w:p>
        </w:tc>
        <w:tc>
          <w:tcPr>
            <w:tcW w:w="2150" w:type="dxa"/>
            <w:shd w:val="clear" w:color="auto" w:fill="auto"/>
            <w:vAlign w:val="center"/>
          </w:tcPr>
          <w:p>
            <w:pPr>
              <w:widowControl/>
              <w:jc w:val="center"/>
            </w:pPr>
            <w:r>
              <w:rPr>
                <w:rFonts w:hint="eastAsia"/>
              </w:rPr>
              <w:t>3000元</w:t>
            </w:r>
          </w:p>
        </w:tc>
        <w:tc>
          <w:tcPr>
            <w:tcW w:w="2132" w:type="dxa"/>
            <w:shd w:val="clear" w:color="auto" w:fill="auto"/>
            <w:vAlign w:val="center"/>
          </w:tcPr>
          <w:p>
            <w:pPr>
              <w:widowControl/>
              <w:jc w:val="center"/>
              <w:rPr>
                <w:rFonts w:hint="eastAsia" w:eastAsia="宋体"/>
                <w:lang w:val="en-US" w:eastAsia="zh-CN"/>
              </w:rPr>
            </w:pPr>
            <w:r>
              <w:rPr>
                <w:rFonts w:hint="eastAsia"/>
                <w:lang w:val="en-US" w:eastAsia="zh-CN"/>
              </w:rPr>
              <w:t>1</w:t>
            </w:r>
          </w:p>
        </w:tc>
      </w:tr>
      <w:bookmarkEnd w:id="3"/>
    </w:tbl>
    <w:p>
      <w:pPr>
        <w:spacing w:line="460" w:lineRule="exact"/>
        <w:ind w:firstLine="643" w:firstLineChars="200"/>
        <w:rPr>
          <w:b/>
          <w:bCs/>
          <w:sz w:val="32"/>
          <w:szCs w:val="32"/>
        </w:rPr>
      </w:pPr>
      <w:bookmarkStart w:id="4" w:name="_Toc483557539"/>
      <w:bookmarkStart w:id="5" w:name="_Toc373860293"/>
      <w:bookmarkStart w:id="6" w:name="_Toc317775178"/>
      <w:r>
        <w:rPr>
          <w:rFonts w:hint="eastAsia"/>
          <w:b/>
          <w:bCs/>
          <w:sz w:val="32"/>
          <w:szCs w:val="32"/>
        </w:rPr>
        <w:t>二、资金来源</w:t>
      </w:r>
      <w:bookmarkEnd w:id="4"/>
    </w:p>
    <w:p>
      <w:pPr>
        <w:spacing w:line="400" w:lineRule="exact"/>
        <w:ind w:firstLine="560" w:firstLineChars="200"/>
        <w:rPr>
          <w:rFonts w:hint="eastAsia" w:ascii="仿宋" w:hAnsi="仿宋" w:eastAsia="仿宋"/>
          <w:sz w:val="28"/>
          <w:szCs w:val="28"/>
        </w:rPr>
      </w:pPr>
      <w:bookmarkStart w:id="7" w:name="_Toc483557540"/>
      <w:r>
        <w:rPr>
          <w:rFonts w:hint="eastAsia" w:ascii="仿宋" w:hAnsi="仿宋" w:eastAsia="仿宋"/>
          <w:sz w:val="28"/>
          <w:szCs w:val="28"/>
        </w:rPr>
        <w:t>财政预算资金，预算金额为12万元。</w:t>
      </w:r>
    </w:p>
    <w:p>
      <w:pPr>
        <w:spacing w:line="460" w:lineRule="exact"/>
        <w:ind w:firstLine="643" w:firstLineChars="200"/>
        <w:rPr>
          <w:b/>
          <w:bCs/>
          <w:sz w:val="32"/>
          <w:szCs w:val="32"/>
        </w:rPr>
      </w:pPr>
      <w:r>
        <w:rPr>
          <w:rFonts w:hint="eastAsia"/>
          <w:b/>
          <w:bCs/>
          <w:sz w:val="32"/>
          <w:szCs w:val="32"/>
        </w:rPr>
        <w:t>三、报价单位资格条件</w:t>
      </w:r>
      <w:bookmarkEnd w:id="7"/>
    </w:p>
    <w:p>
      <w:pPr>
        <w:snapToGrid w:val="0"/>
        <w:spacing w:line="400" w:lineRule="exact"/>
        <w:ind w:firstLine="560" w:firstLineChars="200"/>
        <w:rPr>
          <w:rFonts w:hint="eastAsia" w:ascii="仿宋" w:hAnsi="仿宋" w:eastAsia="仿宋"/>
          <w:sz w:val="28"/>
          <w:szCs w:val="28"/>
        </w:rPr>
      </w:pPr>
      <w:r>
        <w:rPr>
          <w:rFonts w:hint="eastAsia" w:ascii="仿宋" w:hAnsi="仿宋" w:eastAsia="仿宋"/>
          <w:sz w:val="28"/>
          <w:szCs w:val="28"/>
        </w:rPr>
        <w:t>报价单位应首先符合政府采购法第二十二条规定的基本资格条件，同时符合根据该项目特殊要求设置的特定资格条件。</w:t>
      </w:r>
    </w:p>
    <w:p>
      <w:pPr>
        <w:spacing w:line="460" w:lineRule="exact"/>
        <w:ind w:firstLine="560" w:firstLineChars="200"/>
        <w:rPr>
          <w:sz w:val="28"/>
          <w:szCs w:val="28"/>
        </w:rPr>
      </w:pPr>
      <w:r>
        <w:rPr>
          <w:rFonts w:hint="eastAsia"/>
          <w:sz w:val="28"/>
          <w:szCs w:val="28"/>
        </w:rPr>
        <w:t>（一）基本资格条件</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1.具有独立承担民事责任的能力；</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2.具有良好的商业信誉和健全的财务会计制度；</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3.具有履行合同所必需的设备和专业技术能力；</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4.有依法缴纳税收和社会保障资金的良好记录；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5.参加政府采购活动前三年内，在经营活动中没有重大违法记录；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6.法律、行政法规规定的其他条件。</w:t>
      </w:r>
    </w:p>
    <w:p>
      <w:pPr>
        <w:spacing w:line="460" w:lineRule="exact"/>
        <w:ind w:firstLine="560" w:firstLineChars="200"/>
        <w:rPr>
          <w:sz w:val="28"/>
          <w:szCs w:val="28"/>
        </w:rPr>
      </w:pPr>
      <w:r>
        <w:rPr>
          <w:rFonts w:hint="eastAsia"/>
          <w:sz w:val="28"/>
          <w:szCs w:val="28"/>
        </w:rPr>
        <w:t>（二）特定资格条件</w:t>
      </w:r>
    </w:p>
    <w:p>
      <w:pPr>
        <w:spacing w:line="400" w:lineRule="exact"/>
        <w:ind w:firstLine="560" w:firstLineChars="200"/>
        <w:rPr>
          <w:rFonts w:hint="eastAsia" w:ascii="仿宋" w:hAnsi="仿宋" w:eastAsia="仿宋"/>
          <w:sz w:val="28"/>
          <w:szCs w:val="28"/>
        </w:rPr>
      </w:pPr>
      <w:bookmarkStart w:id="8" w:name="_Toc483557541"/>
      <w:r>
        <w:rPr>
          <w:rFonts w:hint="eastAsia" w:ascii="仿宋" w:hAnsi="仿宋" w:eastAsia="仿宋"/>
          <w:sz w:val="28"/>
          <w:szCs w:val="28"/>
        </w:rPr>
        <w:t>1. 经营范围包含档案整理、档案资料数字化加工；</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2.具有省级或以上国家保密局颁发的“国家秘密载体印制资质证书”乙级或以上资质，且资质类别必须为：涉密档案数字化加工，外地企业需提供在重庆市保密局登记备案证明，甲级不需入渝备案（提供资质复印件加盖公章，原件备查）；</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3.符合《档案数字化外包安全管理规范》要求，且承接档案数字化外包业务企业综合能力经省级或者省级以上档案学会测评为合格及以上企业（</w:t>
      </w:r>
      <w:r>
        <w:rPr>
          <w:rFonts w:hint="eastAsia" w:ascii="仿宋" w:hAnsi="仿宋" w:eastAsia="仿宋"/>
          <w:sz w:val="28"/>
          <w:szCs w:val="28"/>
        </w:rPr>
        <w:t>提供资质复印件加盖公章，原件备查）；</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4．重庆市外投标企业必须在渝注册有分支机构或分公司,注册时间满3年及以上，且在重庆市相关行业主管部门登记备案。</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（三）本项目不接受联合体投标，中标单位不得分包或转包。</w:t>
      </w:r>
    </w:p>
    <w:p>
      <w:pPr>
        <w:spacing w:line="460" w:lineRule="exact"/>
        <w:ind w:firstLine="643" w:firstLineChars="200"/>
        <w:rPr>
          <w:b/>
          <w:bCs/>
          <w:sz w:val="32"/>
          <w:szCs w:val="32"/>
        </w:rPr>
      </w:pPr>
      <w:r>
        <w:rPr>
          <w:rFonts w:hint="eastAsia"/>
          <w:b/>
          <w:bCs/>
          <w:sz w:val="32"/>
          <w:szCs w:val="32"/>
        </w:rPr>
        <w:t>四、报价有关说明</w:t>
      </w:r>
      <w:bookmarkEnd w:id="5"/>
      <w:bookmarkEnd w:id="8"/>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1. 书面密封报价方式，采取价低者得的原则；</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2. 最高限价12万元；</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 本次询价不接受联合体报价。</w:t>
      </w:r>
    </w:p>
    <w:p>
      <w:pPr>
        <w:spacing w:line="460" w:lineRule="exact"/>
        <w:ind w:firstLine="643" w:firstLineChars="200"/>
        <w:rPr>
          <w:rFonts w:hint="eastAsia"/>
          <w:b/>
          <w:bCs/>
          <w:sz w:val="32"/>
          <w:szCs w:val="32"/>
          <w:lang w:val="en-US" w:eastAsia="zh-CN"/>
        </w:rPr>
      </w:pPr>
      <w:r>
        <w:rPr>
          <w:rFonts w:hint="eastAsia"/>
          <w:b/>
          <w:bCs/>
          <w:sz w:val="32"/>
          <w:szCs w:val="32"/>
          <w:lang w:val="en-US" w:eastAsia="zh-CN"/>
        </w:rPr>
        <w:t>五、询价保证金</w:t>
      </w:r>
    </w:p>
    <w:p>
      <w:pPr>
        <w:snapToGrid w:val="0"/>
        <w:spacing w:line="400" w:lineRule="exact"/>
        <w:rPr>
          <w:rFonts w:hint="eastAsia" w:ascii="Times New Roman" w:hAnsi="Times New Roman" w:eastAsia="仿宋" w:cs="Times New Roman"/>
          <w:kern w:val="2"/>
          <w:sz w:val="28"/>
          <w:szCs w:val="28"/>
          <w:lang w:val="en-US" w:eastAsia="zh-CN" w:bidi="ar-SA"/>
        </w:rPr>
      </w:pPr>
      <w:r>
        <w:rPr>
          <w:rFonts w:hint="eastAsia" w:ascii="方正仿宋_GBK" w:hAnsi="宋体" w:eastAsia="方正仿宋_GBK"/>
          <w:color w:val="000000"/>
          <w:sz w:val="24"/>
          <w:szCs w:val="24"/>
        </w:rPr>
        <w:t xml:space="preserve">    </w:t>
      </w:r>
      <w:r>
        <w:rPr>
          <w:rFonts w:hint="eastAsia" w:ascii="Times New Roman" w:hAnsi="Times New Roman" w:eastAsia="仿宋" w:cs="Times New Roman"/>
          <w:kern w:val="2"/>
          <w:sz w:val="28"/>
          <w:szCs w:val="28"/>
          <w:lang w:val="en-US" w:eastAsia="zh-CN" w:bidi="ar-SA"/>
        </w:rPr>
        <w:t>（一）询价保证金缴纳方式</w:t>
      </w:r>
    </w:p>
    <w:p>
      <w:pPr>
        <w:snapToGrid w:val="0"/>
        <w:spacing w:line="40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 xml:space="preserve">  供应商只须在规定时间内将询价保证金交至代理机构，在询价现场提交，企业单位将询价保证金用信封密封，信封上写并注明“ ——询价项目询价保证金”并加盖鲜章。询价保证金按规定的金额并在规定时间内缴纳视为报名成功，若报名成功后无故不参与现场询价，将按有关规定处理。</w:t>
      </w:r>
    </w:p>
    <w:p>
      <w:pPr>
        <w:snapToGrid w:val="0"/>
        <w:spacing w:line="40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（二）询价保证金退还方式</w:t>
      </w:r>
    </w:p>
    <w:p>
      <w:pPr>
        <w:snapToGrid w:val="0"/>
        <w:spacing w:line="40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未中标的供应商现场退还保证金，《确认通知书》发出后，成交供应商与询价单位签订服务合同后，无息退还成交供应商的询价保证金，代理机构收到服务合同后退还成交供应商询价保证金。</w:t>
      </w:r>
    </w:p>
    <w:p>
      <w:pPr>
        <w:spacing w:line="460" w:lineRule="exact"/>
        <w:ind w:firstLine="643" w:firstLineChars="200"/>
        <w:rPr>
          <w:rFonts w:hint="eastAsia"/>
          <w:b/>
          <w:bCs/>
          <w:sz w:val="32"/>
          <w:szCs w:val="32"/>
        </w:rPr>
      </w:pPr>
      <w:r>
        <w:rPr>
          <w:rFonts w:hint="eastAsia"/>
          <w:b/>
          <w:bCs/>
          <w:sz w:val="32"/>
          <w:szCs w:val="32"/>
          <w:lang w:eastAsia="zh-CN"/>
        </w:rPr>
        <w:t>六</w:t>
      </w:r>
      <w:r>
        <w:rPr>
          <w:rFonts w:hint="eastAsia"/>
          <w:b/>
          <w:bCs/>
          <w:sz w:val="32"/>
          <w:szCs w:val="32"/>
        </w:rPr>
        <w:t>、公告发布媒体</w:t>
      </w:r>
    </w:p>
    <w:p>
      <w:pPr>
        <w:pStyle w:val="2"/>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重庆市人民防空</w:t>
      </w:r>
      <w:r>
        <w:rPr>
          <w:rFonts w:hint="eastAsia" w:ascii="Times New Roman" w:hAnsi="Times New Roman" w:eastAsia="宋体" w:cs="Times New Roman"/>
          <w:kern w:val="2"/>
          <w:sz w:val="28"/>
          <w:szCs w:val="28"/>
          <w:lang w:val="en-US" w:eastAsia="zh-CN" w:bidi="ar-SA"/>
        </w:rPr>
        <w:t>办公室</w:t>
      </w:r>
      <w:r>
        <w:rPr>
          <w:rFonts w:hint="eastAsia" w:ascii="Times New Roman" w:hAnsi="Times New Roman" w:eastAsia="仿宋" w:cs="Times New Roman"/>
          <w:kern w:val="2"/>
          <w:sz w:val="28"/>
          <w:szCs w:val="28"/>
          <w:lang w:val="en-US" w:eastAsia="zh-CN" w:bidi="ar-SA"/>
        </w:rPr>
        <w:t>门户网和行采网（https://www.gec123.com/）网上发布。</w:t>
      </w:r>
    </w:p>
    <w:p>
      <w:pPr>
        <w:spacing w:line="460" w:lineRule="exact"/>
        <w:ind w:firstLine="643" w:firstLineChars="200"/>
        <w:rPr>
          <w:rFonts w:hint="eastAsia"/>
          <w:b/>
          <w:bCs/>
          <w:sz w:val="32"/>
          <w:szCs w:val="32"/>
          <w:lang w:eastAsia="zh-CN"/>
        </w:rPr>
      </w:pPr>
      <w:r>
        <w:rPr>
          <w:rFonts w:hint="eastAsia"/>
          <w:b/>
          <w:bCs/>
          <w:sz w:val="32"/>
          <w:szCs w:val="32"/>
          <w:lang w:eastAsia="zh-CN"/>
        </w:rPr>
        <w:t>七、询价程序</w:t>
      </w:r>
    </w:p>
    <w:p>
      <w:pPr>
        <w:snapToGrid w:val="0"/>
        <w:spacing w:line="40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1. 凡有意参加本场询价的单位，自行在重庆市人民防空办公室门户网和行采网（https://www.gec123.com/）网上下载。</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2.  2019年4月19日上午10:30—11:00递交密封书面报价书，上午11:00现场询价，确定中标者，逾期未到，不具有报价资格；</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4. 询价结束后，公示三个工作日；</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5. 公示结束无异议，三个工作日内签订合同。</w:t>
      </w:r>
    </w:p>
    <w:p>
      <w:pPr>
        <w:spacing w:line="460" w:lineRule="exact"/>
        <w:ind w:firstLine="643" w:firstLineChars="200"/>
        <w:rPr>
          <w:rFonts w:hint="eastAsia"/>
          <w:b/>
          <w:bCs/>
          <w:sz w:val="32"/>
          <w:szCs w:val="32"/>
          <w:lang w:val="en-US" w:eastAsia="zh-CN"/>
        </w:rPr>
      </w:pPr>
      <w:bookmarkStart w:id="9" w:name="_Toc480466699"/>
      <w:bookmarkStart w:id="10" w:name="_Toc483557544"/>
      <w:r>
        <w:rPr>
          <w:rFonts w:hint="eastAsia"/>
          <w:b/>
          <w:bCs/>
          <w:sz w:val="32"/>
          <w:szCs w:val="32"/>
          <w:lang w:val="en-US" w:eastAsia="zh-CN"/>
        </w:rPr>
        <w:t>八、其它有关规定</w:t>
      </w:r>
      <w:bookmarkEnd w:id="9"/>
      <w:bookmarkEnd w:id="10"/>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（一）报价单位负责人为同一人或者存在直接控股、管理关系的不同供应商，不得参加同一合同项（分包）下的政府采购活动，否则均为无效谈判。</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（二）为本项目提供整体设计、规范编制或者项目管理、监理、检测等服务的供应商，不得再参加该采购项目的其他采购活动。</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（三）列入失信被执行人、重大税收违法案件当事人名单、政府采购严重违法失信行为记录名单及其他不符合《中华人民共和国政府采购法》第二十二条规定条件的供应商，将拒绝其参与政府采购活动。</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1.供应商可通过信用中国网站（</w:t>
      </w: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"http://www.creditchina.gov.cn/"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www.creditchina.gov.cn</w:t>
      </w:r>
      <w:r>
        <w:rPr>
          <w:rFonts w:hint="eastAsia" w:ascii="Times New Roman" w:hAnsi="Times New Roman" w:eastAsia="仿宋" w:cs="Times New Roman"/>
          <w:kern w:val="2"/>
          <w:sz w:val="28"/>
          <w:szCs w:val="28"/>
          <w:lang w:val="en-US" w:eastAsia="zh-CN" w:bidi="ar-SA"/>
        </w:rPr>
        <w:fldChar w:fldCharType="end"/>
      </w:r>
      <w:r>
        <w:rPr>
          <w:rFonts w:hint="eastAsia" w:ascii="Times New Roman" w:hAnsi="Times New Roman" w:eastAsia="仿宋" w:cs="Times New Roman"/>
          <w:kern w:val="2"/>
          <w:sz w:val="28"/>
          <w:szCs w:val="28"/>
          <w:lang w:val="en-US" w:eastAsia="zh-CN" w:bidi="ar-SA"/>
        </w:rPr>
        <w:t>）查询以下内容</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1.1“失信被执行人”；</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1.2“重大税收违法案件当事人名单”；</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2.供应商可通过中国政府采购网（www.ccgp.gov.cn）查询“政府采购严重违法失信行为记录名单”</w:t>
      </w:r>
      <w:bookmarkStart w:id="11" w:name="_Toc483557545"/>
      <w:bookmarkStart w:id="12" w:name="_Toc480466700"/>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3.供应商也可以自己做出书面声明</w:t>
      </w:r>
    </w:p>
    <w:bookmarkEnd w:id="11"/>
    <w:bookmarkEnd w:id="12"/>
    <w:p>
      <w:pPr>
        <w:spacing w:line="460" w:lineRule="exact"/>
        <w:ind w:firstLine="643" w:firstLineChars="200"/>
        <w:rPr>
          <w:rFonts w:hint="eastAsia"/>
          <w:b/>
          <w:bCs/>
          <w:sz w:val="32"/>
          <w:szCs w:val="32"/>
          <w:lang w:val="en-US" w:eastAsia="zh-CN"/>
        </w:rPr>
      </w:pPr>
      <w:r>
        <w:rPr>
          <w:rFonts w:hint="eastAsia"/>
          <w:b/>
          <w:bCs/>
          <w:sz w:val="32"/>
          <w:szCs w:val="32"/>
          <w:lang w:val="en-US" w:eastAsia="zh-CN"/>
        </w:rPr>
        <w:t>九、联系方式</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询价单位：重庆市人防工程设施管理站</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联系人：古娜</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联系电话：63600361</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地址：重庆市渝中区重庆村55号两路口新干线大厦B栋36楼</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代理机构：河南兴达工程咨询有限公司（重庆分公司）</w:t>
      </w:r>
    </w:p>
    <w:bookmarkEnd w:id="6"/>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联系人：李老师</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联系电话：18716353205</w:t>
      </w:r>
    </w:p>
    <w:p>
      <w:pPr>
        <w:spacing w:line="460" w:lineRule="exact"/>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地址：江北区海尔路6号庆业巴蜀城12栋31-1。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43798B"/>
    <w:rsid w:val="65935C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99"/>
    <w:pPr>
      <w:keepNext/>
      <w:keepLines/>
      <w:spacing w:before="260" w:after="26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line="360" w:lineRule="auto"/>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dell3</dc:creator>
  <cp:lastModifiedBy>李菲</cp:lastModifiedBy>
  <dcterms:modified xsi:type="dcterms:W3CDTF">2019-04-11T02:08:00Z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